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111827"/>
          <w:kern w:val="36"/>
          <w:sz w:val="48"/>
          <w:szCs w:val="48"/>
          <w:lang w:eastAsia="ru-RU"/>
        </w:rPr>
      </w:pPr>
      <w:r w:rsidRPr="000819F3">
        <w:rPr>
          <w:rFonts w:ascii="Segoe UI" w:eastAsia="Times New Roman" w:hAnsi="Segoe UI" w:cs="Segoe UI"/>
          <w:color w:val="111827"/>
          <w:kern w:val="36"/>
          <w:sz w:val="48"/>
          <w:szCs w:val="48"/>
          <w:lang w:eastAsia="ru-RU"/>
        </w:rPr>
        <w:t>"МР 2.4.0260-21. 2.4. Гигиена детей и подростков. Рекомендации по проведению оценки соответствия меню обязательным требованиям. Методические рекомендации" (утв. Главным государственным санитарным врачом РФ 04.10.2021)</w:t>
      </w:r>
    </w:p>
    <w:p w:rsidR="000819F3" w:rsidRPr="000819F3" w:rsidRDefault="000819F3" w:rsidP="000819F3">
      <w:pPr>
        <w:spacing w:after="0" w:line="240" w:lineRule="auto"/>
        <w:jc w:val="center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hyperlink r:id="rId6" w:history="1">
        <w:r w:rsidRPr="000819F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Перейти к оглавлению</w:t>
        </w:r>
      </w:hyperlink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ГОСУДАРСТВЕННОЕ САНИТАРНО-ЭПИДЕМИОЛОГИЧЕСКОЕ НОРМИРОВАНИЕ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РОССИЙСКОЙ ФЕДЕРАЦИИ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Утверждаю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Руководитель Федеральной службы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по надзору в сфере защиты прав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потребителей и благополучия человека,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Главный государственный санитарный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врач Российской Федерации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А.Ю.ПОПОВА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4 октября 2021 г.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2.4. ГИГИЕНА ДЕТЕЙ И ПОДРОСТКОВ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РЕКОМЕНДАЦИИ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ПО ПРОВЕДЕНИЮ ОЦЕНКИ СООТВЕТСТВИЯ МЕНЮ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ОБЯЗАТЕЛЬНЫМ ТРЕБОВАНИЯМ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МЕТОДИЧЕСКИЕ РЕКОМЕНДАЦИИ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МР 2.4.0260-21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1. </w:t>
      </w:r>
      <w:proofErr w:type="gram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Разработаны Федеральной службой по надзору в сфере защиты прав потребителей и благополучия человека (И.В. Брагина, И.Г.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Шевкун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, Г.В. Яновская), ФБУН "Новосибирский научно-исследовательский институт гигиены"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(И.И. Новикова, Г.П. Ивлева, С.П. Романенко, П.А.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Вейних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) при участии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Омской области (А.С.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Крига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, М.Н. Бойко), </w:t>
      </w: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lastRenderedPageBreak/>
        <w:t xml:space="preserve">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Новосибирской области (А.Ф.</w:t>
      </w:r>
      <w:proofErr w:type="gram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</w:t>
      </w:r>
      <w:proofErr w:type="gram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Щербатов, О.Н.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Берсон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),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Ставропольскому краю (М.И. Сорокина),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Брянской области (Т.Н. Самойленко),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Московской области (Е.В. Черныш),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Республике Мордовия (Панченко Г.А.), Управления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по Республике Татарстан (Фомичева Г.Б.), ФБУЗ "Центр гигиены и эпидемиологии в Тульской области" (О.И. Денисова), ФБУЗ "Центр гигиены и эпидемиологии</w:t>
      </w:r>
      <w:proofErr w:type="gram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в Республике Татарстан (Татарстан)" (Е.П.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Сизова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), ФБУЗ "Центр гигиены и эпидемиологии в г. Москве" (В.В.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Молдованов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).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4 октября 2021 г.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3. Введены впервые.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I. Общие положения и область применения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1.1. Методические рекомендации (далее - МР) разработаны в рамках методического сопровождения реализации положений Федерального </w:t>
      </w:r>
      <w:hyperlink r:id="rId7" w:anchor="114" w:tooltip="Федеральный закон от 02.01.2000 N 29-ФЗ (ред. от 13.07.2020) &quot;О качестве и безопасности пищевых продуктов&quot; (с изм. и доп., вступ. в силу с 01.01.2022)&#10;" w:history="1">
        <w:r w:rsidRPr="000819F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закона</w:t>
        </w:r>
      </w:hyperlink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 от 02.01.2000 N 29-ФЗ "О качестве и безопасности пищевых продуктов", </w:t>
      </w:r>
      <w:hyperlink r:id="rId8" w:anchor="10020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&#10;" w:history="1">
        <w:r w:rsidRPr="000819F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СанПиН 2.3/2.4.3590-20</w:t>
        </w:r>
      </w:hyperlink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 "Санитарно-эпидемиологические требования к организации общественного питания населения".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МР направлены на обеспечение реализации принципов здорового питания, в том числе при оценке организации питания детей.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1.2. МР предназначены для органов и учреждений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Роспотребнадзора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, могут быть использованы в работе организаций, оказывающих услуги по организации питания детей, образовательных организаций, организаций отдыха и оздоровления детей, организаций по уходу и присмотру за детьми, органов управления образованием.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II. Рекомендации по оценке соответствия меню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обязательным требованиям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2.1. При проведении оценки соответствия меню обязательным требованиям рекомендуется руководствоваться действующими нормативами и информацией о физиологической потребности детей в калорийности, белках (в том числе животного происхождения), жирах, углеводах, витаминах и минеральных веществах.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lastRenderedPageBreak/>
        <w:t>2.2. При оценке меню в ходе контрольно-надзорных мероприятий (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документарно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и с проведением лабораторно-инструментальных исследований) оцениваются данные фактического меню за последние две недели (14, 12 или 10 дней).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Оценка меню по обращению юридических лиц проводится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документарно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и по ее результатам в заключении указываются выводы о соответствии (не соответствии) меню обязательным требованиям и, при необходимости, рекомендации по его корректировке.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2.3. Для проведения документарной оценки используется следующая информация: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возрастная группа детей;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режим работы организации, в том числе для данной возрастной группы;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режим питания в организации (для данной возрастной группы) - для детей дошкольного возраста указывается время приемов пищи по наименованиям (завтрак, второй завтрак, обед, полдник, уплотненный полдник, ужин, второй ужин) и их продолжительность; для детей школьного возраста - наименование приема пищи, график питания и продолжительность времени на прием пищи;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меню с информацией о биологической ценности (содержание калорийности, белков (в том числе животного происхождения), жиров, углеводов, витаминов и микроэлементов в среднем за сутки на каждый прием пищи по каждому блюду);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технологические карты на заявленные в меню блюда с указанием сборника рецептур, наличие в них информации о технологии приготовления блюд, калорийности, содержании белков, жиров и углеводов, витаминов и минеральных веществ, для горячих блюд - информации о температуре их выдачи;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- информация об использовании в </w:t>
      </w:r>
      <w:proofErr w:type="gram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меню</w:t>
      </w:r>
      <w:proofErr w:type="gram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обогащенных витаминами и минеральными веществами продуктов питания.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2.4. Рекомендуется оценивать: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режим питания, продолжительность времени, выделяемого на прием пищи;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lastRenderedPageBreak/>
        <w:t>- технологические карты на заявленные в меню блюда с указанием сборника рецептур, наличия в них информации о технологии приготовления блюд, калорийности, содержании белков, жиров и углеводов, витаминов и минеральных веществ, для горячих блюд - информации о температуре их выдачи;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отсутствие (наличие) повторяемости блюд в течение дня и (или) двух смежных дней;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отсутствие (наличие) в питании запрещенных продуктов и блюд;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соответствие (не соответствие) суммарной массы блюд за прием пищи регламентированному нормативу для данной возрастной группы;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энергетическую ценность меню, содержание белков, жиров, углеводов по каждому блюду и приему пищи и в среднем за 1 день цикла;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 содержание витаминов и минеральных веществ в меню в среднем за 1 день цикла.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proofErr w:type="gram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При оценке меню рекомендуется руководствоваться химическим составом ингредиентов блюд и обобщенными величинами потерь при тепловой кулинарной обработке &lt;1&gt;, составляющих по белкам - 6%, жирам - 12%, углеводам - 9%, натрию - 24%, калию - 17%, кальцию - 12%, магнию - 13%, фосфору - 13%, железу - 13%, йоду - 12%, селену - 12%, фтору - 12%, витамину A - 40%, витамину B1 - 28%, витамину B2 - 20%, C - 60% (</w:t>
      </w:r>
      <w:hyperlink r:id="rId9" w:tooltip="ХИМИЧЕСКИЙ СОСТАВ" w:history="1">
        <w:r w:rsidRPr="000819F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приложения 1</w:t>
        </w:r>
      </w:hyperlink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 и </w:t>
      </w:r>
      <w:hyperlink r:id="rId10" w:tooltip="ХИМИЧЕСКИЙ СОСТАВ" w:history="1">
        <w:r w:rsidRPr="000819F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2</w:t>
        </w:r>
      </w:hyperlink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 к</w:t>
      </w:r>
      <w:proofErr w:type="gram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настоящим МР).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--------------------------------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&lt;1&gt; Сборник рецептур на продукцию для обучающихся во всех образовательных учреждениях/под редакцией М.П. </w:t>
      </w:r>
      <w:proofErr w:type="gram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Могильного</w:t>
      </w:r>
      <w:proofErr w:type="gram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 и В.А.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Тутельяна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. - 2017, 544 с.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Для организаций с круглосуточным режимом работы рекомендуется проводить оценку полноты и кратности потребления пищевых продуктов при организации питания детей всех возрастных групп.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lastRenderedPageBreak/>
        <w:t>2.5. На этапе лабораторной оценки устанавливается соответствие (не соответствие) результатов, полученных в ходе лабораторного контроля, расчетным данным. Оценке подлежат показатели калорийности блюд, содержание в них белков, жиров и углеводов за прием пищи, витаминов и минеральных веществ, а также соответствие пищевой продукции требованиям технических регламентов Таможенного союза (Евразийского экономического союза).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Приложение 1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к МР 2.4.0260-21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ХИМИЧЕСКИЙ СОСТАВ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ПИЩЕВОЙ ПРОДУКЦИИ, КОТОРАЯ МОЖЕТ БЫТЬ ИСПОЛЬЗОВАНА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proofErr w:type="gramStart"/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ДЛЯ ПРИГОТОВЛЕНИЯ БЛЮД (ЗНАЧЕНИЯ ПРИВЕДЕНЫ С УЧЕТОМ ПОТЕРЬ</w:t>
      </w:r>
      <w:proofErr w:type="gramEnd"/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ПРИ ТЕРМИЧЕСКОЙ ОБРАБОТКЕ НА 100 ГРАММ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proofErr w:type="gramStart"/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ПИЩЕВОЙ ПРОДУКЦИИ) &lt;2&gt;</w:t>
      </w:r>
      <w:proofErr w:type="gramEnd"/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--------------------------------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&lt;</w:t>
      </w:r>
      <w:bookmarkStart w:id="0" w:name="_GoBack"/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 xml:space="preserve">2&gt; Химический состав российских пищевых продуктов. Под редакцией член-корр. МАИ, проф. И.М. Скурихина и академика РАМН, проф. В.А. </w:t>
      </w:r>
      <w:proofErr w:type="spellStart"/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>Тутельяна</w:t>
      </w:r>
      <w:proofErr w:type="spellEnd"/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>. - Москва, 2002. - 236 с.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>Таблица 1.1</w:t>
      </w:r>
    </w:p>
    <w:tbl>
      <w:tblPr>
        <w:tblW w:w="18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2162"/>
        <w:gridCol w:w="300"/>
        <w:gridCol w:w="2145"/>
        <w:gridCol w:w="3101"/>
        <w:gridCol w:w="1950"/>
        <w:gridCol w:w="1695"/>
        <w:gridCol w:w="1334"/>
        <w:gridCol w:w="682"/>
        <w:gridCol w:w="1763"/>
        <w:gridCol w:w="1786"/>
        <w:gridCol w:w="1011"/>
      </w:tblGrid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пищевой продукции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Энергетическая ценность,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5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жив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жив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Мясо, птица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баранина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оленина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телятина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свинина мясная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нежир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бройлер (цыпленок)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куриная грудка (филе)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индейка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 говяжья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 куриная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говяжий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сердце говяжье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треска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семга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сельдь атлантическая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палтус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навага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камбала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горбуша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горбуша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сайра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фасоль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чечевица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гречневая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кукурузная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перловая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полбы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пшеничная "Артек"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пшеничная "Полтавская"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ячневая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хлопья "Геркулес"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толокно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булгур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(не яичные)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(яичные)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и молочная </w:t>
            </w: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продукция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10.0%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20.0%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35.0%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сахаром 5,0%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сахаром 8,5%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концентрированное 7,8%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творог 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творог 9.0%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российский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голландский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пошехонский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советский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сметана 15.0%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сметана 20.0%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сливочное 72.5%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сливочное 82.5%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яйцо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куриные</w:t>
            </w:r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белокочанная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перец сладкий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баклажан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кабачок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тыква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брокколи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шпинат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цветная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сельдерей (корень)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консервированный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 консервированный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EF61ADD" wp14:editId="72717EE0">
                  <wp:extent cx="190500" cy="190500"/>
                  <wp:effectExtent l="0" t="0" r="0" b="0"/>
                  <wp:docPr id="1" name="Рисунок 1" descr="https://e-ecolog.ru/docs_files/HhI0vTzVRePcXl39zm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HhI0vTzVRePcXl39zm3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укроп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зеленый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петрушка (корень)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петрушка (зелень)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томатное пюре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мандарин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абрикос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смородина черная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клубника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клюква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брусника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облепиха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сухофруктов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сушеная вишня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сушеная груша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сушеные яблоки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сушеный урюк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чернослив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ржаная обдирная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ржаная обойная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поваренная йодированная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 прессованные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крахмал кукурузный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черный байховый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лавровый лист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зелень сушеная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перец черный горошком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</w:tbl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>Таблица 1.2</w:t>
      </w:r>
    </w:p>
    <w:tbl>
      <w:tblPr>
        <w:tblW w:w="18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814"/>
        <w:gridCol w:w="336"/>
        <w:gridCol w:w="3191"/>
        <w:gridCol w:w="839"/>
        <w:gridCol w:w="688"/>
        <w:gridCol w:w="688"/>
        <w:gridCol w:w="725"/>
        <w:gridCol w:w="688"/>
        <w:gridCol w:w="647"/>
        <w:gridCol w:w="611"/>
        <w:gridCol w:w="745"/>
        <w:gridCol w:w="656"/>
        <w:gridCol w:w="779"/>
        <w:gridCol w:w="914"/>
        <w:gridCol w:w="914"/>
        <w:gridCol w:w="857"/>
        <w:gridCol w:w="1801"/>
      </w:tblGrid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Водорастворимые витамины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Жирорастворимые витамины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A, мкг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Мясо, птица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телятина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свинина мясная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бройлер (цыпленок)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куриная грудка (филе)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индейка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 говяжья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5020,2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 куриная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говяжий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сердце говяжье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сельдь атлантическая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палтус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камбала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горбуша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горбуша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сайра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чечевица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гречневая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кукурузная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перловая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полбы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пшеничная "Артек"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пшеничная "Полтавская"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ячневая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хлопья "Геркулес"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пшенная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толокно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булгур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изд. (не яичные)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изд. (яичные)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и молочная продукция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10.0%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20.0%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сливки 35.0%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5,0%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8,5%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концентр. 7,8%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творог 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творог 9.0%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российский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голландский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пошехонский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советский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сметана 15.0%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сметана 20.0%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сливочн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72.5%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сливочн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82.5%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391,8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перец сладкий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брокколи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шпинат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сельдерей (корень)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огурец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томат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зеленый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петрушка (корень)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петрушка (зелень)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томатное пюре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сухофруктов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сушеная вишня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сушеная груша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сушеные яблоки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сушеный урюк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ржаная обдирная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ржаная обойная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поваренная 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2941 9,6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 прессованные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крахмал кукурузный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черный байховый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лавровый лист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зелень сушеная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перец черный горошком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</w:tr>
    </w:tbl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18"/>
          <w:szCs w:val="18"/>
          <w:lang w:eastAsia="ru-RU"/>
        </w:rPr>
        <w:t>Приложение 2</w:t>
      </w:r>
    </w:p>
    <w:bookmarkEnd w:id="0"/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к МР 2.4.0260-21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ХИМИЧЕСКИЙ СОСТАВ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ПИЩЕВОЙ ПРОДУКЦИИ, КОТОРАЯ МОЖЕТ БЫТЬ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proofErr w:type="gramStart"/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ИСПОЛЬЗОВАНА</w:t>
      </w:r>
      <w:proofErr w:type="gramEnd"/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 xml:space="preserve"> В МЕНЮ БЕЗ ДОПОЛНИТЕЛЬНОЙ ТЕРМИЧЕСКОЙ ОБРАБОТКИ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b/>
          <w:bCs/>
          <w:color w:val="111827"/>
          <w:sz w:val="24"/>
          <w:szCs w:val="24"/>
          <w:lang w:eastAsia="ru-RU"/>
        </w:rPr>
        <w:t>(ЗНАЧЕНИЯ ПРИВЕДЕНЫ НА 100 ГРАММ ПИЩЕВОЙ ПРОДУКЦИИ) &lt;3&gt;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--------------------------------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 xml:space="preserve">&lt;3&gt; Химический состав российских пищевых продуктов. Под редакцией член-корр. МАИ, проф. И.М. Скурихина и академика РАМН, проф. В.А. </w:t>
      </w:r>
      <w:proofErr w:type="spellStart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Тутельяна</w:t>
      </w:r>
      <w:proofErr w:type="spellEnd"/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. - Москва, 2002. - 236 с.</w:t>
      </w:r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t>Таблица 2.1</w:t>
      </w:r>
    </w:p>
    <w:tbl>
      <w:tblPr>
        <w:tblW w:w="18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579"/>
        <w:gridCol w:w="360"/>
        <w:gridCol w:w="3044"/>
        <w:gridCol w:w="2682"/>
        <w:gridCol w:w="665"/>
        <w:gridCol w:w="1612"/>
        <w:gridCol w:w="1658"/>
        <w:gridCol w:w="712"/>
        <w:gridCol w:w="1612"/>
        <w:gridCol w:w="1658"/>
        <w:gridCol w:w="1287"/>
      </w:tblGrid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жив.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жив.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варенец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ацидофилин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снежок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простокваша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простокваша 4%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Мечниковская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1.5%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2.0%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"Тонус" 2,5%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пошехонский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советский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72.5%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82.5%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слабосоленая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(зелень)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оливковое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горчичное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льняное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смесь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украинский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фруктовый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сахаром 5,0%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сахаром 8,5%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поваренная </w:t>
            </w: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right"/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</w:pPr>
      <w:r w:rsidRPr="000819F3">
        <w:rPr>
          <w:rFonts w:ascii="Segoe UI" w:eastAsia="Times New Roman" w:hAnsi="Segoe UI" w:cs="Segoe UI"/>
          <w:color w:val="111827"/>
          <w:sz w:val="24"/>
          <w:szCs w:val="24"/>
          <w:lang w:eastAsia="ru-RU"/>
        </w:rPr>
        <w:lastRenderedPageBreak/>
        <w:t>Таблица 2.2</w:t>
      </w:r>
    </w:p>
    <w:tbl>
      <w:tblPr>
        <w:tblW w:w="18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623"/>
        <w:gridCol w:w="360"/>
        <w:gridCol w:w="3309"/>
        <w:gridCol w:w="752"/>
        <w:gridCol w:w="595"/>
        <w:gridCol w:w="721"/>
        <w:gridCol w:w="762"/>
        <w:gridCol w:w="660"/>
        <w:gridCol w:w="614"/>
        <w:gridCol w:w="654"/>
        <w:gridCol w:w="732"/>
        <w:gridCol w:w="711"/>
        <w:gridCol w:w="812"/>
        <w:gridCol w:w="930"/>
        <w:gridCol w:w="917"/>
        <w:gridCol w:w="911"/>
        <w:gridCol w:w="1807"/>
      </w:tblGrid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витамины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Жирорастворимые витамины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мкг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варенец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ацидофилин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(натуральный)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снежок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простокваша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простокваша 4%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1.5%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2.0%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3.2%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"Тонус" 2,5%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пошехонский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советский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82.5%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</w:t>
            </w: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0819F3" w:rsidRPr="000819F3" w:rsidTr="000819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слабосоленая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(зелень)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оливковое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горчичное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льняное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смесь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украинский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фруктовый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 5,0%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м.д.ж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 8,5% </w:t>
            </w:r>
            <w:proofErr w:type="spellStart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м.д.ж</w:t>
            </w:r>
            <w:proofErr w:type="spellEnd"/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9F3" w:rsidRPr="000819F3" w:rsidTr="000819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819F3" w:rsidRPr="000819F3" w:rsidRDefault="000819F3" w:rsidP="0008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819F3" w:rsidRPr="000819F3" w:rsidRDefault="000819F3" w:rsidP="000819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FA3C93" wp14:editId="68F29869">
            <wp:extent cx="6096000" cy="952500"/>
            <wp:effectExtent l="0" t="0" r="0" b="0"/>
            <wp:docPr id="2" name="Рисунок 2" descr="myexport.exportcenter.ru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export.exportcenter.ru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Гражданский кодекс (ГК РФ) ч.1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Гражданский кодекс (ГК РФ) ч.2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Гражданский кодекс (ГК РФ) ч.3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Гражданский кодекс (ГК РФ) ч.4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Жилищный кодекс (ЖК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Налоговый кодекс (НК РФ) ч.1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Налоговый кодекс (НК РФ) ч.2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Трудовой кодекс (ТК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Уголовный кодекс (УК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Бюджетный кодекс (БК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Арбитражный процессуальный кодекс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Земельный кодекс (ЗК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Лесной кодекс (ЛК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Семейный кодекс (СК РФ)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Уголовно-исполнительный кодекс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Уголовно-процессуальный кодекс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127-ФЗ О несостоятельности (банкротстве)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44-ФЗ О контрактной системе в сфере закупок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О защите прав потребителей (ЗОЗПП)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 xml:space="preserve">223-ФЗ О закупках ... отдельными видами </w:t>
        </w:r>
        <w:proofErr w:type="spellStart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юрлиц</w:t>
        </w:r>
        <w:proofErr w:type="spellEnd"/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229-ФЗ</w:t>
        </w:r>
        <w:proofErr w:type="gramStart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 xml:space="preserve"> О</w:t>
        </w:r>
        <w:proofErr w:type="gramEnd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б исполнительном производстве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152-ФЗ О персональных данных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О налогах на имущество физических лиц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О средствах массовой информации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3-ФЗ О полиции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208-ФЗ</w:t>
        </w:r>
        <w:proofErr w:type="gramStart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 xml:space="preserve"> О</w:t>
        </w:r>
        <w:proofErr w:type="gramEnd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б акционерных обществах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31-ФЗ О мобилизации в РФ</w:t>
        </w:r>
      </w:hyperlink>
    </w:p>
    <w:p w:rsidR="000819F3" w:rsidRPr="000819F3" w:rsidRDefault="000819F3" w:rsidP="000819F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58-ФЗ О системе государственной службы РФ</w:t>
        </w:r>
      </w:hyperlink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Мне повезёт!</w:t>
        </w:r>
      </w:hyperlink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Справочная</w:t>
        </w:r>
      </w:hyperlink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 </w:t>
        </w:r>
        <w:proofErr w:type="spellStart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Телеграм</w:t>
        </w:r>
        <w:proofErr w:type="spellEnd"/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 xml:space="preserve"> канал о сервисе</w:t>
        </w:r>
      </w:hyperlink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Основания размещения информации</w:t>
        </w:r>
      </w:hyperlink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Как в системе</w:t>
      </w:r>
    </w:p>
    <w:p w:rsidR="000819F3" w:rsidRPr="000819F3" w:rsidRDefault="000819F3" w:rsidP="0008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mail@e-ecolog.ru</w:t>
        </w:r>
      </w:hyperlink>
    </w:p>
    <w:p w:rsidR="000819F3" w:rsidRPr="000819F3" w:rsidRDefault="000819F3" w:rsidP="000819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081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Е-Досье</w:t>
        </w:r>
      </w:hyperlink>
      <w:r w:rsidRPr="000819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2015-2022</w:t>
      </w:r>
    </w:p>
    <w:p w:rsidR="00D751B8" w:rsidRDefault="000819F3"/>
    <w:sectPr w:rsidR="00D751B8" w:rsidSect="00081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576"/>
    <w:multiLevelType w:val="multilevel"/>
    <w:tmpl w:val="9E3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F3"/>
    <w:rsid w:val="000819F3"/>
    <w:rsid w:val="009A3847"/>
    <w:rsid w:val="00C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19F3"/>
  </w:style>
  <w:style w:type="character" w:styleId="a3">
    <w:name w:val="Hyperlink"/>
    <w:basedOn w:val="a0"/>
    <w:uiPriority w:val="99"/>
    <w:semiHidden/>
    <w:unhideWhenUsed/>
    <w:rsid w:val="000819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9F3"/>
    <w:rPr>
      <w:color w:val="800080"/>
      <w:u w:val="single"/>
    </w:rPr>
  </w:style>
  <w:style w:type="paragraph" w:customStyle="1" w:styleId="text-justify">
    <w:name w:val="text-justify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emibold">
    <w:name w:val="font-semibold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19F3"/>
  </w:style>
  <w:style w:type="character" w:styleId="a3">
    <w:name w:val="Hyperlink"/>
    <w:basedOn w:val="a0"/>
    <w:uiPriority w:val="99"/>
    <w:semiHidden/>
    <w:unhideWhenUsed/>
    <w:rsid w:val="000819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9F3"/>
    <w:rPr>
      <w:color w:val="800080"/>
      <w:u w:val="single"/>
    </w:rPr>
  </w:style>
  <w:style w:type="paragraph" w:customStyle="1" w:styleId="text-justify">
    <w:name w:val="text-justify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emibold">
    <w:name w:val="font-semibold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0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2342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737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5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3207">
          <w:marLeft w:val="0"/>
          <w:marRight w:val="0"/>
          <w:marTop w:val="0"/>
          <w:marBottom w:val="0"/>
          <w:divBdr>
            <w:top w:val="single" w:sz="1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5640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28166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5098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7009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20061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1098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-ecolog.ru/docs/uCnCli32wzf0IIZUaWIH5" TargetMode="External"/><Relationship Id="rId26" Type="http://schemas.openxmlformats.org/officeDocument/2006/relationships/hyperlink" Target="https://e-ecolog.ru/docs/OvdDOQ_BmAK4s36kJAVdm" TargetMode="External"/><Relationship Id="rId39" Type="http://schemas.openxmlformats.org/officeDocument/2006/relationships/hyperlink" Target="https://e-ecolog.ru/docs/M0IyF460cjfPjU0dUb5y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-ecolog.ru/docs/F9WZ39xgDmMyc8tXJn01R" TargetMode="External"/><Relationship Id="rId34" Type="http://schemas.openxmlformats.org/officeDocument/2006/relationships/hyperlink" Target="https://e-ecolog.ru/docs/u9hzDn8AV2G0kpK0PW4j8" TargetMode="External"/><Relationship Id="rId42" Type="http://schemas.openxmlformats.org/officeDocument/2006/relationships/hyperlink" Target="https://e-ecolog.ru/rand" TargetMode="External"/><Relationship Id="rId47" Type="http://schemas.openxmlformats.org/officeDocument/2006/relationships/hyperlink" Target="https://e-ecolog.ru/" TargetMode="External"/><Relationship Id="rId7" Type="http://schemas.openxmlformats.org/officeDocument/2006/relationships/hyperlink" Target="https://e-ecolog.ru/docs/9tNiCfBLAUpQR2LFrSeMK/112" TargetMode="External"/><Relationship Id="rId12" Type="http://schemas.openxmlformats.org/officeDocument/2006/relationships/hyperlink" Target="https://yandex.ru/an/count/WSaejI_zO0S1_Gq0j1W7UQNPj6jUlmK01m8nqsnEOm00000uaAWSG0Y6a-pVcDRjcvy1W06EzfO6Y07YweaIa06G_8gXu820W0AO0P3yYg5Wi042k07WewNK9RUZg07W0SxTnfq1w06I0XIO0iI3lnYW0e3ZiHRm0fx9hDuBu7su8lW4bwwx0OW5bwwx0P05iSsG1A05p9Gvg0MLqI-m1PNHBxW5XhA60S05u8te0iW5uCPRq0NkXXEW1eWHg0Q84Sa6N7s3_JybDrAf1-S9QGbjz4nLk0Uo3k07XiAGW0RW2C3nc0le2GVm2O05-0baW0e3AEWCcmRW3OA0W860W808c0xS-eti_wV9crB840pf4doIEU2zci6Qg1E6mDA0bz37ZnU05820OE0K0UWKZ0AW5h2bgfe6oHO0y3-O5yV5gose5mcu5mJ05xNM0Q0PY16m6RWPWHh__-jybH5IaQ0Qpx6ErR-Px8Ef0R0QvEU9YxZqhU1kWXmDJ3T5EcHqGrLBJ3PaDwWU0R0V3SWVmTkHLDKY__z__mu0HsmS7se45x2Mu0XeE2mYpJxptZ5YspatDscOJKwTqd03vliVQYnLm2p6iGyKuk01~1?media-test-tag=2251799813686099" TargetMode="External"/><Relationship Id="rId17" Type="http://schemas.openxmlformats.org/officeDocument/2006/relationships/hyperlink" Target="https://e-ecolog.ru/docs/LaLQsSq2UuUIIHtXYt8aD" TargetMode="External"/><Relationship Id="rId25" Type="http://schemas.openxmlformats.org/officeDocument/2006/relationships/hyperlink" Target="https://e-ecolog.ru/docs/C3NjXlw-rl2HBk5mdWhZ-" TargetMode="External"/><Relationship Id="rId33" Type="http://schemas.openxmlformats.org/officeDocument/2006/relationships/hyperlink" Target="https://e-ecolog.ru/docs/jFMBqPJFejIWxbv82SIo7" TargetMode="External"/><Relationship Id="rId38" Type="http://schemas.openxmlformats.org/officeDocument/2006/relationships/hyperlink" Target="https://e-ecolog.ru/docs/0pmUF75WzN-pyM8CweXfq" TargetMode="External"/><Relationship Id="rId46" Type="http://schemas.openxmlformats.org/officeDocument/2006/relationships/hyperlink" Target="mailto:mail@e-ecolo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ecolog.ru/docs/icSrB6un0a96Wkwa5Uifb" TargetMode="External"/><Relationship Id="rId20" Type="http://schemas.openxmlformats.org/officeDocument/2006/relationships/hyperlink" Target="https://e-ecolog.ru/docs/0l6XfznbDDrnQ7S1lZwdR" TargetMode="External"/><Relationship Id="rId29" Type="http://schemas.openxmlformats.org/officeDocument/2006/relationships/hyperlink" Target="https://e-ecolog.ru/docs/4F2RFgxf5mizxWdObiUi5" TargetMode="External"/><Relationship Id="rId41" Type="http://schemas.openxmlformats.org/officeDocument/2006/relationships/hyperlink" Target="https://e-ecolog.ru/docs/vtt66AgPqMygnTme2X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ecolog.ru/docs/MumtVpafh6p83RPD-Jxox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e-ecolog.ru/docs/a1FiROWMd_GHxqVtO1lbl" TargetMode="External"/><Relationship Id="rId32" Type="http://schemas.openxmlformats.org/officeDocument/2006/relationships/hyperlink" Target="https://e-ecolog.ru/docs/VLTTu-P4A-RmK6pwXXF_C" TargetMode="External"/><Relationship Id="rId37" Type="http://schemas.openxmlformats.org/officeDocument/2006/relationships/hyperlink" Target="https://e-ecolog.ru/docs/ua0Hi60kNC5WU_w4_Cac-" TargetMode="External"/><Relationship Id="rId40" Type="http://schemas.openxmlformats.org/officeDocument/2006/relationships/hyperlink" Target="https://e-ecolog.ru/docs/Cg29w-CbsNpu1GWD5hxiY" TargetMode="External"/><Relationship Id="rId45" Type="http://schemas.openxmlformats.org/officeDocument/2006/relationships/hyperlink" Target="https://e-ecolog.ru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ecolog.ru/docs/IS87nv0vbBnn9wbxW-UGD" TargetMode="External"/><Relationship Id="rId23" Type="http://schemas.openxmlformats.org/officeDocument/2006/relationships/hyperlink" Target="https://e-ecolog.ru/docs/IWV8kw1IAyB_U68vdQMVj" TargetMode="External"/><Relationship Id="rId28" Type="http://schemas.openxmlformats.org/officeDocument/2006/relationships/hyperlink" Target="https://e-ecolog.ru/docs/h_3W0t6_aKsps80LF3Bc7" TargetMode="External"/><Relationship Id="rId36" Type="http://schemas.openxmlformats.org/officeDocument/2006/relationships/hyperlink" Target="https://e-ecolog.ru/docs/0l6XfznbDDrnQ7S1lZwdR/1650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-ecolog.ru/docs/MumtVpafh6p83RPD-Jxox/3355" TargetMode="External"/><Relationship Id="rId19" Type="http://schemas.openxmlformats.org/officeDocument/2006/relationships/hyperlink" Target="https://e-ecolog.ru/docs/9jDNSfRxtcVrTkG1Tgdu8" TargetMode="External"/><Relationship Id="rId31" Type="http://schemas.openxmlformats.org/officeDocument/2006/relationships/hyperlink" Target="https://e-ecolog.ru/docs/IelPx0puVgz9Yp35wB_x4" TargetMode="External"/><Relationship Id="rId44" Type="http://schemas.openxmlformats.org/officeDocument/2006/relationships/hyperlink" Target="https://t.me/eeco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ecolog.ru/docs/MumtVpafh6p83RPD-Jxox/67" TargetMode="External"/><Relationship Id="rId14" Type="http://schemas.openxmlformats.org/officeDocument/2006/relationships/hyperlink" Target="https://e-ecolog.ru/docs/VS0cmW_cOBJBcw6tx5s5r" TargetMode="External"/><Relationship Id="rId22" Type="http://schemas.openxmlformats.org/officeDocument/2006/relationships/hyperlink" Target="https://e-ecolog.ru/docs/JKNQyDVM5ZFahK75V0KSU" TargetMode="External"/><Relationship Id="rId27" Type="http://schemas.openxmlformats.org/officeDocument/2006/relationships/hyperlink" Target="https://e-ecolog.ru/docs/p6Pr7OmV2c3OIk-C1Jgnd" TargetMode="External"/><Relationship Id="rId30" Type="http://schemas.openxmlformats.org/officeDocument/2006/relationships/hyperlink" Target="https://e-ecolog.ru/docs/GKo2IEreMqeNNxGxvvndT" TargetMode="External"/><Relationship Id="rId35" Type="http://schemas.openxmlformats.org/officeDocument/2006/relationships/hyperlink" Target="https://e-ecolog.ru/docs/dqVaghbO-h0Tju4H9bqXb" TargetMode="External"/><Relationship Id="rId43" Type="http://schemas.openxmlformats.org/officeDocument/2006/relationships/hyperlink" Target="https://e-ecolog.ru/enquir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-ecolog.ru/docs/NTNnfV-K_F9Znrkxss0wh/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2022-10-18T09:07:00Z</dcterms:created>
  <dcterms:modified xsi:type="dcterms:W3CDTF">2022-10-18T09:16:00Z</dcterms:modified>
</cp:coreProperties>
</file>